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830E" w14:textId="366533CA" w:rsidR="0050336C" w:rsidRPr="00B70F84" w:rsidRDefault="00744027" w:rsidP="00F05E52">
      <w:pPr>
        <w:suppressAutoHyphens/>
        <w:spacing w:after="0" w:line="276" w:lineRule="auto"/>
        <w:ind w:firstLine="360"/>
        <w:jc w:val="center"/>
        <w:rPr>
          <w:rFonts w:ascii="Garamond" w:eastAsia="SimSun" w:hAnsi="Garamond" w:cstheme="minorHAnsi"/>
          <w:kern w:val="1"/>
          <w:sz w:val="24"/>
          <w:szCs w:val="24"/>
          <w:lang w:eastAsia="zh-CN"/>
        </w:rPr>
      </w:pPr>
      <w:r w:rsidRPr="00B70F84">
        <w:rPr>
          <w:rFonts w:ascii="Garamond" w:eastAsia="SimSun" w:hAnsi="Garamond" w:cstheme="minorHAnsi"/>
          <w:kern w:val="1"/>
          <w:sz w:val="24"/>
          <w:szCs w:val="24"/>
          <w:lang w:eastAsia="zh-CN"/>
        </w:rPr>
        <w:t>Wniosek o dofinansowanie niekomercyjnego badania klinicznego</w:t>
      </w:r>
      <w:r w:rsidR="003E5D76" w:rsidRPr="00B70F84">
        <w:rPr>
          <w:rFonts w:ascii="Garamond" w:eastAsia="SimSun" w:hAnsi="Garamond" w:cstheme="minorHAnsi"/>
          <w:kern w:val="1"/>
          <w:sz w:val="24"/>
          <w:szCs w:val="24"/>
          <w:lang w:eastAsia="zh-CN"/>
        </w:rPr>
        <w:t xml:space="preserve"> – COVID 19</w:t>
      </w:r>
    </w:p>
    <w:p w14:paraId="23DA5A0E" w14:textId="77777777" w:rsidR="00F05E52" w:rsidRPr="00B70F84" w:rsidRDefault="00F05E52" w:rsidP="0050336C">
      <w:pPr>
        <w:suppressAutoHyphens/>
        <w:spacing w:after="0" w:line="276" w:lineRule="auto"/>
        <w:ind w:firstLine="360"/>
        <w:jc w:val="both"/>
        <w:rPr>
          <w:rFonts w:ascii="Garamond" w:eastAsia="SimSun" w:hAnsi="Garamond" w:cstheme="minorHAnsi"/>
          <w:kern w:val="1"/>
          <w:sz w:val="24"/>
          <w:szCs w:val="24"/>
          <w:lang w:eastAsia="zh-CN"/>
        </w:rPr>
      </w:pPr>
      <w:bookmarkStart w:id="0" w:name="_GoBack"/>
    </w:p>
    <w:tbl>
      <w:tblPr>
        <w:tblW w:w="4895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10722"/>
      </w:tblGrid>
      <w:tr w:rsidR="0050336C" w:rsidRPr="00B70F84" w14:paraId="34E02DF8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bookmarkEnd w:id="0"/>
          <w:p w14:paraId="4254A1E7" w14:textId="77777777" w:rsidR="0050336C" w:rsidRPr="00B70F84" w:rsidRDefault="0050336C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Wnioskodawca</w:t>
            </w:r>
          </w:p>
        </w:tc>
        <w:tc>
          <w:tcPr>
            <w:tcW w:w="3851" w:type="pct"/>
            <w:vAlign w:val="center"/>
          </w:tcPr>
          <w:p w14:paraId="13A0724F" w14:textId="3DB89FD5" w:rsidR="00653951" w:rsidRPr="00B70F84" w:rsidRDefault="00653951" w:rsidP="009F6981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  <w:t xml:space="preserve">Podmioty, które mogą </w:t>
            </w:r>
            <w:r w:rsidR="00094BF5" w:rsidRPr="00B70F84"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  <w:t>złożyć wniosek:</w:t>
            </w:r>
          </w:p>
          <w:p w14:paraId="0D4E0051" w14:textId="77777777" w:rsidR="00653951" w:rsidRPr="00B70F84" w:rsidRDefault="00653951" w:rsidP="00F05E52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1)podmioty, o których mowa w art. 7 ust. 1 pkt 1–6 i 8 ustawy z dnia 20 lipca 2018 r. – Prawo o  szkolnictwie wyższym i nauce;</w:t>
            </w:r>
          </w:p>
          <w:p w14:paraId="046EDF13" w14:textId="77777777" w:rsidR="00653951" w:rsidRPr="00B70F84" w:rsidRDefault="00653951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a)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  <w:t>uczelnie;</w:t>
            </w:r>
          </w:p>
          <w:p w14:paraId="2C707F7F" w14:textId="77777777" w:rsidR="00653951" w:rsidRPr="00B70F84" w:rsidRDefault="00653951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b)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  <w:t>federacje podmiotów systemu szkolnictwa wyższego i nauki, zwane dalej „federacjami”;</w:t>
            </w:r>
          </w:p>
          <w:p w14:paraId="72D7E953" w14:textId="0A93461B" w:rsidR="00653951" w:rsidRPr="00B70F84" w:rsidRDefault="00653951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c)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</w:r>
            <w:r w:rsidR="00D644A8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instytuty naukowe 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Polsk</w:t>
            </w:r>
            <w:r w:rsidR="00D644A8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iej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 Akademi</w:t>
            </w:r>
            <w:r w:rsidR="00D644A8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i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 Nauk, </w:t>
            </w:r>
            <w:r w:rsidR="00D644A8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działające 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na podstawie ustawy z dnia 30 kwietnia 2010 r. o Polskiej Akademii Nauk (Dz. U. z 2018 r. poz. 1475), </w:t>
            </w:r>
            <w:r w:rsidR="00A64AA2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zwane 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dalej „</w:t>
            </w:r>
            <w:r w:rsidR="00D644A8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 xml:space="preserve">instytutami </w:t>
            </w: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PAN”;</w:t>
            </w:r>
          </w:p>
          <w:p w14:paraId="601F0C36" w14:textId="6441D37A" w:rsidR="00653951" w:rsidRPr="00B70F84" w:rsidRDefault="00653951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</w:p>
          <w:p w14:paraId="22246596" w14:textId="4C5AD4B3" w:rsidR="00653951" w:rsidRPr="00B70F84" w:rsidRDefault="00CC3AF2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d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)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  <w:t>instytuty badawcze, działające na podstawie ustawy z dnia 30 kwietnia 2010 r. o instytutach badawczych (Dz. U. z 2018 r. poz. 736);</w:t>
            </w:r>
          </w:p>
          <w:p w14:paraId="6959E988" w14:textId="539EA7A6" w:rsidR="00653951" w:rsidRPr="00B70F84" w:rsidRDefault="00CC3AF2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e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)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  <w:t>międzynarodowe instytuty naukowe utworzone na podstawie odrębnych ustaw działające na terytorium Rzeczypospolitej Polskiej, zwane dalej „instytutami międzynarodowymi”;</w:t>
            </w:r>
          </w:p>
          <w:p w14:paraId="3960EF88" w14:textId="0892763B" w:rsidR="00653951" w:rsidRPr="00B70F84" w:rsidRDefault="00CC3AF2" w:rsidP="00653951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f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)</w:t>
            </w:r>
            <w:r w:rsidR="00653951"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ab/>
              <w:t>inne podmioty prowadzące głównie działalność naukową w sposób samodzielny i ciągły.</w:t>
            </w:r>
          </w:p>
          <w:p w14:paraId="56D2082D" w14:textId="77777777" w:rsidR="00653951" w:rsidRPr="00B70F84" w:rsidRDefault="00653951" w:rsidP="00F05E52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2) Centrum Medyczne Kształcenia Podyplomowego, o którym mowa w ustawie z dnia 13 września 2018 r. o Centrum Medycznym Kształcenia Podyplomowego (Dz. U. poz. 2024);</w:t>
            </w:r>
          </w:p>
          <w:p w14:paraId="2500F4F6" w14:textId="77777777" w:rsidR="0050336C" w:rsidRPr="00B70F84" w:rsidRDefault="00653951" w:rsidP="00F05E52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3) podmioty lecznicze, dla których podmiotem tworzącym jest publiczna uczelnia medyczna albo uczelnia prowadząca działalność dydaktyczną i badawczą w dziedzinie nauk medycznych, albo Centrum Medyczne Kształcenia Podyplomowego;</w:t>
            </w:r>
          </w:p>
          <w:p w14:paraId="59521C96" w14:textId="77777777" w:rsidR="00AC4590" w:rsidRPr="00B70F84" w:rsidRDefault="00AC4590" w:rsidP="00F05E52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4) przedsiębiorcy mający status centrum badawczo-rozwojowego w rozumieniu art. 17 ust. 2 ustawy z dnia 30 maja 2008 r. o niektórych formach wspierania działalności innowacyjnej (Dz. U. z 2018 r. poz. 141 i 1669);</w:t>
            </w:r>
          </w:p>
          <w:p w14:paraId="3E1F9037" w14:textId="77777777" w:rsidR="00AC4590" w:rsidRPr="00B70F84" w:rsidRDefault="00AC4590" w:rsidP="00F05E52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5) prowadzące badania naukowe i prace rozwojowe:</w:t>
            </w:r>
          </w:p>
          <w:p w14:paraId="5BEC7322" w14:textId="77777777" w:rsidR="00AC4590" w:rsidRPr="00B70F84" w:rsidRDefault="00AC4590" w:rsidP="00AC4590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a) jednostki organizacyjne posiadające osobowość prawną i siedzibę na terytorium Rzeczypospolitej Polskiej,</w:t>
            </w:r>
          </w:p>
          <w:p w14:paraId="4DE1C0D4" w14:textId="77777777" w:rsidR="00AC4590" w:rsidRPr="00B70F84" w:rsidRDefault="00AC4590" w:rsidP="00AC4590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b) przedsiębiorcy prowadzący działalność w innej formie organizacyjnej niż określone w pkt 3 i 4.</w:t>
            </w:r>
          </w:p>
          <w:p w14:paraId="5B2F33BC" w14:textId="77777777" w:rsidR="009F6981" w:rsidRPr="00B70F84" w:rsidRDefault="009F6981" w:rsidP="009F6981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</w:pPr>
          </w:p>
          <w:p w14:paraId="43D3F163" w14:textId="6A8F2452" w:rsidR="009F6981" w:rsidRPr="00B70F84" w:rsidRDefault="009F6981" w:rsidP="009F6981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  <w:t>Nazwa wnioskodawcy, adres, strona internetowa</w:t>
            </w:r>
            <w:r w:rsidR="00D644A8" w:rsidRPr="00B70F84">
              <w:rPr>
                <w:rFonts w:ascii="Garamond" w:eastAsia="SimSun" w:hAnsi="Garamond" w:cs="Arial"/>
                <w:b/>
                <w:kern w:val="1"/>
                <w:sz w:val="20"/>
                <w:szCs w:val="20"/>
                <w:lang w:eastAsia="zh-CN"/>
              </w:rPr>
              <w:t>, status prawny</w:t>
            </w:r>
          </w:p>
        </w:tc>
      </w:tr>
      <w:tr w:rsidR="009F6981" w:rsidRPr="00B70F84" w14:paraId="67C458DF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5511F22B" w14:textId="7504724B" w:rsidR="009F6981" w:rsidRPr="00B70F84" w:rsidRDefault="009F6981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 xml:space="preserve">Dane osób do kontaktów roboczych </w:t>
            </w:r>
          </w:p>
        </w:tc>
        <w:tc>
          <w:tcPr>
            <w:tcW w:w="3851" w:type="pct"/>
            <w:vAlign w:val="center"/>
          </w:tcPr>
          <w:p w14:paraId="2C843A7B" w14:textId="4A0FD96A" w:rsidR="009F6981" w:rsidRPr="00B70F84" w:rsidRDefault="009F6981" w:rsidP="009F6981">
            <w:pPr>
              <w:suppressAutoHyphens/>
              <w:spacing w:after="0" w:line="276" w:lineRule="auto"/>
              <w:jc w:val="both"/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="Arial"/>
                <w:kern w:val="1"/>
                <w:sz w:val="20"/>
                <w:szCs w:val="20"/>
                <w:lang w:eastAsia="zh-CN"/>
              </w:rPr>
              <w:t>Imię i nazwisko, adres mailowy, telefon komórkowy</w:t>
            </w:r>
          </w:p>
        </w:tc>
      </w:tr>
      <w:tr w:rsidR="00EF2127" w:rsidRPr="00B70F84" w14:paraId="46D3537A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1750561E" w14:textId="77777777" w:rsidR="00EF2127" w:rsidRPr="00B70F84" w:rsidRDefault="00EF2127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Tytuł projektu</w:t>
            </w:r>
          </w:p>
        </w:tc>
        <w:tc>
          <w:tcPr>
            <w:tcW w:w="3851" w:type="pct"/>
            <w:vAlign w:val="center"/>
          </w:tcPr>
          <w:p w14:paraId="00047A45" w14:textId="77777777" w:rsidR="00EF2127" w:rsidRPr="00B70F84" w:rsidRDefault="00EF2127" w:rsidP="0050336C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9F6981" w:rsidRPr="00B70F84" w14:paraId="6FDCE127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77AC0275" w14:textId="09F3D691" w:rsidR="009F6981" w:rsidRPr="00B70F84" w:rsidRDefault="00224C5B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lastRenderedPageBreak/>
              <w:t>Kierownik projektu/</w:t>
            </w:r>
            <w:r w:rsidR="009F6981"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 xml:space="preserve">Główny Badacz </w:t>
            </w:r>
          </w:p>
        </w:tc>
        <w:tc>
          <w:tcPr>
            <w:tcW w:w="3851" w:type="pct"/>
            <w:vAlign w:val="center"/>
          </w:tcPr>
          <w:p w14:paraId="1CE748B4" w14:textId="3B8F00D2" w:rsidR="009F6981" w:rsidRPr="00B70F84" w:rsidRDefault="009F6981" w:rsidP="009F6981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 xml:space="preserve">Imię i nazwisko </w:t>
            </w:r>
            <w:r w:rsidR="00224C5B"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>kierownika projektu/</w:t>
            </w:r>
            <w:r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>głównego badacza, tytuł naukowy, opis doświadczenia</w:t>
            </w:r>
          </w:p>
        </w:tc>
      </w:tr>
      <w:tr w:rsidR="0050336C" w:rsidRPr="00B70F84" w14:paraId="162D81DC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343641D2" w14:textId="77777777" w:rsidR="0050336C" w:rsidRPr="00B70F84" w:rsidRDefault="0050336C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Planowany okres realizacji projektu</w:t>
            </w:r>
          </w:p>
        </w:tc>
        <w:tc>
          <w:tcPr>
            <w:tcW w:w="3851" w:type="pct"/>
            <w:vAlign w:val="center"/>
          </w:tcPr>
          <w:p w14:paraId="2087D61B" w14:textId="593B76DE" w:rsidR="0050336C" w:rsidRPr="00B70F84" w:rsidRDefault="006F384B" w:rsidP="008B4495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 xml:space="preserve">Proponowany okres realizacji projektu </w:t>
            </w:r>
            <w:r w:rsidR="00224C5B"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 xml:space="preserve">do </w:t>
            </w:r>
            <w:r w:rsidR="008B4495"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>18 miesięcy</w:t>
            </w:r>
            <w:r w:rsidR="00253C72"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 xml:space="preserve"> (należy podać datę rozpoczęcia i zakończenia projektu)</w:t>
            </w:r>
          </w:p>
        </w:tc>
      </w:tr>
      <w:tr w:rsidR="0050336C" w:rsidRPr="00B70F84" w14:paraId="3943DAE0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6ADB834D" w14:textId="77777777" w:rsidR="0050336C" w:rsidRPr="00B70F84" w:rsidRDefault="0050336C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Partnerzy</w:t>
            </w:r>
          </w:p>
        </w:tc>
        <w:tc>
          <w:tcPr>
            <w:tcW w:w="3851" w:type="pct"/>
            <w:vAlign w:val="center"/>
          </w:tcPr>
          <w:p w14:paraId="02490B86" w14:textId="77777777" w:rsidR="006F384B" w:rsidRPr="00B70F84" w:rsidRDefault="006F384B" w:rsidP="0050336C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</w:p>
          <w:p w14:paraId="474BD28B" w14:textId="19D54C4E" w:rsidR="0050336C" w:rsidRPr="00B70F84" w:rsidRDefault="003E5D76" w:rsidP="00B55783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  <w:t xml:space="preserve">Należy wskazać ewentualnych partnerów instytucjonalnych projektu </w:t>
            </w:r>
          </w:p>
          <w:p w14:paraId="42D9078C" w14:textId="77777777" w:rsidR="006F384B" w:rsidRPr="00B70F84" w:rsidRDefault="006F384B" w:rsidP="0050336C">
            <w:pPr>
              <w:suppressAutoHyphens/>
              <w:spacing w:after="0" w:line="276" w:lineRule="auto"/>
              <w:ind w:firstLine="360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</w:p>
          <w:p w14:paraId="6CF9767F" w14:textId="77777777" w:rsidR="006F384B" w:rsidRPr="00B70F84" w:rsidRDefault="006F384B" w:rsidP="00253C72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50336C" w:rsidRPr="00B70F84" w14:paraId="70BD91CD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7B309D36" w14:textId="77777777" w:rsidR="0050336C" w:rsidRPr="00B70F84" w:rsidRDefault="0050336C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Typ projektu</w:t>
            </w:r>
          </w:p>
        </w:tc>
        <w:tc>
          <w:tcPr>
            <w:tcW w:w="3851" w:type="pct"/>
            <w:vAlign w:val="center"/>
          </w:tcPr>
          <w:p w14:paraId="54742FFE" w14:textId="5211C14B" w:rsidR="00634D53" w:rsidRPr="00B70F84" w:rsidRDefault="00253C72" w:rsidP="004E17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Należy </w:t>
            </w:r>
            <w:r w:rsidR="003E5D76" w:rsidRPr="00B70F84">
              <w:rPr>
                <w:rFonts w:ascii="Garamond" w:eastAsia="Times New Roman" w:hAnsi="Garamond" w:cstheme="minorHAnsi"/>
                <w:sz w:val="20"/>
                <w:szCs w:val="20"/>
              </w:rPr>
              <w:t>określić,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czy projekt dotyczy  niekomercyjnego badania klinicznego w obszarze:</w:t>
            </w:r>
          </w:p>
          <w:p w14:paraId="357B1257" w14:textId="77777777" w:rsidR="00253C72" w:rsidRPr="00B70F84" w:rsidRDefault="00253C72" w:rsidP="004E17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testu diagnostycznego w kierunku COVID 19</w:t>
            </w:r>
          </w:p>
          <w:p w14:paraId="3866A493" w14:textId="77777777" w:rsidR="00253C72" w:rsidRPr="00B70F84" w:rsidRDefault="00253C72" w:rsidP="004E17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- terapii </w:t>
            </w:r>
          </w:p>
          <w:p w14:paraId="4223C15B" w14:textId="3FCD19E9" w:rsidR="00253C72" w:rsidRPr="00B70F84" w:rsidRDefault="00253C72" w:rsidP="004E17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szczepionki</w:t>
            </w:r>
          </w:p>
        </w:tc>
      </w:tr>
      <w:tr w:rsidR="00634D53" w:rsidRPr="00B70F84" w14:paraId="59140C16" w14:textId="77777777" w:rsidTr="00F43A4D">
        <w:trPr>
          <w:trHeight w:val="797"/>
        </w:trPr>
        <w:tc>
          <w:tcPr>
            <w:tcW w:w="1149" w:type="pct"/>
            <w:shd w:val="clear" w:color="auto" w:fill="auto"/>
            <w:vAlign w:val="center"/>
          </w:tcPr>
          <w:p w14:paraId="338F6C32" w14:textId="77777777" w:rsidR="00634D53" w:rsidRPr="00B70F84" w:rsidRDefault="00634D53" w:rsidP="00A47AE0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Czego dotyczy niekomercyjne badanie kliniczne?</w:t>
            </w:r>
          </w:p>
        </w:tc>
        <w:tc>
          <w:tcPr>
            <w:tcW w:w="3851" w:type="pct"/>
            <w:vAlign w:val="center"/>
          </w:tcPr>
          <w:p w14:paraId="2036846C" w14:textId="29BF186E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bookmarkStart w:id="1" w:name="_Hlk36641433"/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a. </w:t>
            </w:r>
            <w:r w:rsidR="00560526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punktów uchwytu potencjalnych leków </w:t>
            </w:r>
          </w:p>
          <w:p w14:paraId="6682D6EF" w14:textId="77777777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b. leków dopuszczonych do obrotu (zarejestrowanych poza Polską lub tylko w Polsce) i stosowanych w innych wskazaniach, niż przewidziane zgodnie z charakterystyką produktu leczniczego lub</w:t>
            </w:r>
          </w:p>
          <w:p w14:paraId="447C7567" w14:textId="281BECB2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c. wy</w:t>
            </w:r>
            <w:r w:rsidR="004035B3" w:rsidRPr="00B70F84">
              <w:rPr>
                <w:rFonts w:ascii="Garamond" w:eastAsia="Times New Roman" w:hAnsi="Garamond" w:cstheme="minorHAnsi"/>
                <w:sz w:val="20"/>
                <w:szCs w:val="20"/>
              </w:rPr>
              <w:t>rob</w:t>
            </w:r>
            <w:r w:rsidR="00560526" w:rsidRPr="00B70F84">
              <w:rPr>
                <w:rFonts w:ascii="Garamond" w:eastAsia="Times New Roman" w:hAnsi="Garamond" w:cstheme="minorHAnsi"/>
                <w:sz w:val="20"/>
                <w:szCs w:val="20"/>
              </w:rPr>
              <w:t>u medycznego , narzędzi diagnostycznych</w:t>
            </w:r>
          </w:p>
          <w:p w14:paraId="75B0BD71" w14:textId="2A83C14B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d. wypracowania nowych schematów diagnostycznych lub/i interwencyjnych metod leczenia</w:t>
            </w:r>
          </w:p>
          <w:p w14:paraId="18608DC4" w14:textId="2A5D5201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e. rozwiązań w zakresie medycyny cyfrowej (</w:t>
            </w:r>
            <w:proofErr w:type="spellStart"/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telemedycyny</w:t>
            </w:r>
            <w:proofErr w:type="spellEnd"/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)</w:t>
            </w:r>
          </w:p>
          <w:p w14:paraId="54E564C7" w14:textId="77777777" w:rsidR="00634D53" w:rsidRPr="00B70F84" w:rsidRDefault="00634D53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f. pojedynczych związków chemicznych, substancji, mieszaniny substancji lub związków złożonych o potencjalnych właściwościach leczniczych i potwierdzonym w fazie przedklinicznej bezpieczeństwie</w:t>
            </w:r>
            <w:bookmarkEnd w:id="1"/>
          </w:p>
          <w:p w14:paraId="4B2B5977" w14:textId="5276CE81" w:rsidR="00224C5B" w:rsidRPr="00B70F84" w:rsidRDefault="00224C5B" w:rsidP="00634D5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g. inne:…………………………………………………………………………………………………………………………….</w:t>
            </w:r>
          </w:p>
        </w:tc>
      </w:tr>
      <w:tr w:rsidR="00F43A4D" w:rsidRPr="00B70F84" w14:paraId="4A7AE5A6" w14:textId="77777777" w:rsidTr="00F43A4D">
        <w:trPr>
          <w:trHeight w:val="797"/>
        </w:trPr>
        <w:tc>
          <w:tcPr>
            <w:tcW w:w="1149" w:type="pct"/>
            <w:shd w:val="clear" w:color="auto" w:fill="auto"/>
            <w:vAlign w:val="center"/>
          </w:tcPr>
          <w:p w14:paraId="71208A5F" w14:textId="69EDB188" w:rsidR="00F43A4D" w:rsidRPr="00B70F84" w:rsidRDefault="006B6D2B" w:rsidP="006B6D2B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lastRenderedPageBreak/>
              <w:t xml:space="preserve">Streszczenie projektu </w:t>
            </w:r>
          </w:p>
        </w:tc>
        <w:tc>
          <w:tcPr>
            <w:tcW w:w="3851" w:type="pct"/>
            <w:vAlign w:val="center"/>
          </w:tcPr>
          <w:p w14:paraId="08694B50" w14:textId="6327EDD1" w:rsidR="00F43A4D" w:rsidRPr="00B70F84" w:rsidRDefault="006B6D2B" w:rsidP="006B6D2B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Krótka charakterystyka planowanych bada</w:t>
            </w:r>
            <w:r w:rsidR="00C90B63" w:rsidRPr="00B70F84">
              <w:rPr>
                <w:rFonts w:ascii="Garamond" w:eastAsia="Times New Roman" w:hAnsi="Garamond" w:cstheme="minorHAnsi"/>
                <w:sz w:val="20"/>
                <w:szCs w:val="20"/>
              </w:rPr>
              <w:t>ń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(max 250 słów</w:t>
            </w:r>
            <w:r w:rsidR="003E5D76" w:rsidRPr="00B70F84">
              <w:rPr>
                <w:rFonts w:ascii="Garamond" w:eastAsia="Times New Roman" w:hAnsi="Garamond" w:cstheme="minorHAnsi"/>
                <w:sz w:val="20"/>
                <w:szCs w:val="20"/>
              </w:rPr>
              <w:t>)</w:t>
            </w:r>
          </w:p>
        </w:tc>
      </w:tr>
      <w:tr w:rsidR="00253C72" w:rsidRPr="00B70F84" w14:paraId="4082B536" w14:textId="77777777" w:rsidTr="00F43A4D">
        <w:trPr>
          <w:trHeight w:val="797"/>
        </w:trPr>
        <w:tc>
          <w:tcPr>
            <w:tcW w:w="1149" w:type="pct"/>
            <w:shd w:val="clear" w:color="auto" w:fill="auto"/>
            <w:vAlign w:val="center"/>
          </w:tcPr>
          <w:p w14:paraId="3D747E1D" w14:textId="1E0507FA" w:rsidR="00253C72" w:rsidRPr="00B70F84" w:rsidRDefault="00253C72" w:rsidP="006B6D2B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Streszczenie projektu</w:t>
            </w:r>
            <w:r w:rsidR="00BD6BCD"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 xml:space="preserve"> w języku angielskim</w:t>
            </w:r>
          </w:p>
        </w:tc>
        <w:tc>
          <w:tcPr>
            <w:tcW w:w="3851" w:type="pct"/>
            <w:vAlign w:val="center"/>
          </w:tcPr>
          <w:p w14:paraId="3916F35B" w14:textId="77777777" w:rsidR="00253C72" w:rsidRPr="00B70F84" w:rsidRDefault="00253C72" w:rsidP="006B6D2B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F43A4D" w:rsidRPr="00B70F84" w14:paraId="6C8B5CE6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67C8E3E0" w14:textId="666E29C6" w:rsidR="00F43A4D" w:rsidRPr="00B70F84" w:rsidRDefault="006B6D2B" w:rsidP="00560526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Cele projektu</w:t>
            </w:r>
            <w:r w:rsidR="00224C5B"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 xml:space="preserve"> i kamienie milowe</w:t>
            </w:r>
          </w:p>
        </w:tc>
        <w:tc>
          <w:tcPr>
            <w:tcW w:w="3851" w:type="pct"/>
            <w:vAlign w:val="center"/>
          </w:tcPr>
          <w:p w14:paraId="10DC3FE1" w14:textId="5E5160AE" w:rsidR="00F43A4D" w:rsidRPr="00B70F84" w:rsidRDefault="003E5D76" w:rsidP="00C90B63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o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>kreś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lić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cel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projektu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i kamienie milowe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>, które będą powiązane z opisem jego planowanych wyników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3B6BE3" w:rsidRPr="00B70F84" w14:paraId="5BC8E228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3977CC4E" w14:textId="35F9B9E2" w:rsidR="003B6BE3" w:rsidRPr="00B70F84" w:rsidRDefault="006B6D2B" w:rsidP="0050336C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Hipoteza badawcza</w:t>
            </w:r>
          </w:p>
        </w:tc>
        <w:tc>
          <w:tcPr>
            <w:tcW w:w="3851" w:type="pct"/>
            <w:vAlign w:val="center"/>
          </w:tcPr>
          <w:p w14:paraId="43E5A3C7" w14:textId="3DF79664" w:rsidR="003B6BE3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color w:val="2E74B5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wskazać h</w:t>
            </w:r>
            <w:r w:rsidR="00BD6BCD" w:rsidRPr="00B70F84">
              <w:rPr>
                <w:rFonts w:ascii="Garamond" w:eastAsia="Times New Roman" w:hAnsi="Garamond" w:cstheme="minorHAnsi"/>
                <w:sz w:val="20"/>
                <w:szCs w:val="20"/>
              </w:rPr>
              <w:t>ipotez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ę</w:t>
            </w:r>
            <w:r w:rsidR="00BD6BCD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badawcz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ą</w:t>
            </w:r>
            <w:r w:rsidR="00BD6BCD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projektu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, która</w:t>
            </w:r>
            <w:r w:rsidR="00BD6BCD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musi być oryginalna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>, jasno sprecyzowana, oparta na wnikliwej analiz</w:t>
            </w:r>
            <w:r w:rsidR="00D87865" w:rsidRPr="00B70F84">
              <w:rPr>
                <w:rFonts w:ascii="Garamond" w:eastAsia="Times New Roman" w:hAnsi="Garamond" w:cstheme="minorHAnsi"/>
                <w:sz w:val="20"/>
                <w:szCs w:val="20"/>
              </w:rPr>
              <w:t>ie literatury naukowej, poparta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opisem procesów molekularnych na poziomie komórki. Powinna </w:t>
            </w:r>
            <w:r w:rsidR="00C90B63" w:rsidRPr="00B70F84">
              <w:rPr>
                <w:rFonts w:ascii="Garamond" w:eastAsia="Times New Roman" w:hAnsi="Garamond" w:cstheme="minorHAnsi"/>
                <w:sz w:val="20"/>
                <w:szCs w:val="20"/>
              </w:rPr>
              <w:t>stanowić</w:t>
            </w:r>
            <w:r w:rsidR="006B6D2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pytanie, które będzie przedmiotem weryfikacji w toku prowadzonych badań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F43A4D" w:rsidRPr="00B70F84" w14:paraId="330DCDB3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449902B4" w14:textId="77777777" w:rsidR="00F43A4D" w:rsidRPr="00B70F84" w:rsidRDefault="0057178A" w:rsidP="0050336C">
            <w:pPr>
              <w:suppressAutoHyphens/>
              <w:spacing w:after="0" w:line="276" w:lineRule="auto"/>
              <w:jc w:val="both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Opis innowacyjności projektu</w:t>
            </w:r>
          </w:p>
        </w:tc>
        <w:tc>
          <w:tcPr>
            <w:tcW w:w="3851" w:type="pct"/>
            <w:vAlign w:val="center"/>
          </w:tcPr>
          <w:p w14:paraId="3D099BFE" w14:textId="72F6D1B1" w:rsidR="00B55783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wykazać innowacyjność projektu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,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opisać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znaczenia projektu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dla rozwoju dziedziny której dotyczy projekt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>, na ile zagadnienie jest nowe, czy nie było dotąd badane</w:t>
            </w:r>
            <w:r w:rsidR="00EF2127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. 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</w:t>
            </w:r>
          </w:p>
          <w:p w14:paraId="34B228A1" w14:textId="01D77561" w:rsidR="00B55783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w</w:t>
            </w:r>
            <w:r w:rsidR="00D87865" w:rsidRPr="00B70F84">
              <w:rPr>
                <w:rFonts w:ascii="Garamond" w:eastAsia="Times New Roman" w:hAnsi="Garamond" w:cstheme="minorHAnsi"/>
                <w:sz w:val="20"/>
                <w:szCs w:val="20"/>
              </w:rPr>
              <w:t>ykaza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ć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,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że realizacja projektu jest słuszna </w:t>
            </w:r>
            <w:r w:rsidR="00D87865" w:rsidRPr="00B70F84">
              <w:rPr>
                <w:rFonts w:ascii="Garamond" w:eastAsia="Times New Roman" w:hAnsi="Garamond" w:cstheme="minorHAnsi"/>
                <w:sz w:val="20"/>
                <w:szCs w:val="20"/>
              </w:rPr>
              <w:t>w stosunku do sformułowanej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hipotezy. </w:t>
            </w:r>
          </w:p>
          <w:p w14:paraId="31CD7BA9" w14:textId="51F9BD2F" w:rsidR="00F43A4D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w</w:t>
            </w:r>
            <w:r w:rsidR="00603CBD" w:rsidRPr="00B70F84">
              <w:rPr>
                <w:rFonts w:ascii="Garamond" w:eastAsia="Times New Roman" w:hAnsi="Garamond" w:cstheme="minorHAnsi"/>
                <w:sz w:val="20"/>
                <w:szCs w:val="20"/>
              </w:rPr>
              <w:t>skaza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ć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siln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dowod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y</w:t>
            </w:r>
            <w:r w:rsidR="0057178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na poparcie hipotezy</w:t>
            </w:r>
            <w:r w:rsidR="00D8786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(możliwe uwzględnienie wyników badań wstępnych)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3B6BE3" w:rsidRPr="00B70F84" w14:paraId="21DE0A19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3399148F" w14:textId="77777777" w:rsidR="003B6BE3" w:rsidRPr="00B70F84" w:rsidRDefault="003B6BE3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Opis aktualnej wiedzy klinicznej w zakresie projektowanego badania</w:t>
            </w:r>
          </w:p>
        </w:tc>
        <w:tc>
          <w:tcPr>
            <w:tcW w:w="3851" w:type="pct"/>
            <w:vAlign w:val="center"/>
          </w:tcPr>
          <w:p w14:paraId="12B68533" w14:textId="74DB873E" w:rsidR="003B6BE3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o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>pis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ać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najważniejsz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doniesie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nia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kliniczn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zgodn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z klasyfikacją doniesień naukowych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  <w:p w14:paraId="7F20A16F" w14:textId="24E04731" w:rsidR="00911A23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zawrzeć informację na temat o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>cen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y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bezpieczeństwa i identyfikacj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i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</w:t>
            </w:r>
            <w:proofErr w:type="spellStart"/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>ryzyk</w:t>
            </w:r>
            <w:proofErr w:type="spellEnd"/>
            <w:r w:rsidR="000A2BB4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- o</w:t>
            </w:r>
            <w:r w:rsidR="00911A23" w:rsidRPr="00B70F84">
              <w:rPr>
                <w:rFonts w:ascii="Garamond" w:eastAsia="Times New Roman" w:hAnsi="Garamond" w:cstheme="minorHAnsi"/>
                <w:sz w:val="20"/>
                <w:szCs w:val="20"/>
              </w:rPr>
              <w:t>pis procedury identyfikacji, zgłaszania i oceny bezpieczeństwa pacjenta w badaniu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626D75" w:rsidRPr="00B70F84" w14:paraId="60938C02" w14:textId="77777777" w:rsidTr="00626D75">
        <w:trPr>
          <w:trHeight w:val="6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E3634C7" w14:textId="73FDAD29" w:rsidR="00626D75" w:rsidRPr="00B70F84" w:rsidRDefault="00BD6BC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b/>
                <w:sz w:val="20"/>
                <w:szCs w:val="20"/>
              </w:rPr>
              <w:t xml:space="preserve">Schemat badania </w:t>
            </w:r>
          </w:p>
        </w:tc>
      </w:tr>
      <w:tr w:rsidR="00626D75" w:rsidRPr="00B70F84" w14:paraId="3227576D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176F2124" w14:textId="77777777" w:rsidR="00626D75" w:rsidRPr="00B70F84" w:rsidRDefault="00626D75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Opis badań wstępnych</w:t>
            </w:r>
          </w:p>
        </w:tc>
        <w:tc>
          <w:tcPr>
            <w:tcW w:w="3851" w:type="pct"/>
            <w:vMerge w:val="restart"/>
            <w:vAlign w:val="center"/>
          </w:tcPr>
          <w:p w14:paraId="2EF4FCA1" w14:textId="5E7E3B20" w:rsidR="00626D75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zaw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r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zeć o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>pis metod badawczych zastosowanych w projekcie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, o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>pis technik badawczych, metod rozwiązywania problemu badawczego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oraz u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zasadnienie wyboru 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przyjętych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metod</w:t>
            </w:r>
            <w:r w:rsidR="00224C5B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  <w:p w14:paraId="2BAF2FE4" w14:textId="7ACCFB91" w:rsidR="000C4C5D" w:rsidRPr="00B70F84" w:rsidRDefault="000C4C5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p w14:paraId="24DBDD4B" w14:textId="21C54437" w:rsidR="000C4C5D" w:rsidRPr="00B70F84" w:rsidRDefault="000C4C5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p w14:paraId="27D6ADC6" w14:textId="77777777" w:rsidR="000C4C5D" w:rsidRPr="00B70F84" w:rsidRDefault="000C4C5D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p w14:paraId="078C7313" w14:textId="77777777" w:rsidR="00626D75" w:rsidRPr="00B70F84" w:rsidRDefault="00626D75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626D75" w:rsidRPr="00B70F84" w14:paraId="01218F73" w14:textId="77777777" w:rsidTr="003C13C1">
        <w:trPr>
          <w:trHeight w:val="997"/>
        </w:trPr>
        <w:tc>
          <w:tcPr>
            <w:tcW w:w="1149" w:type="pct"/>
            <w:shd w:val="clear" w:color="auto" w:fill="auto"/>
            <w:vAlign w:val="center"/>
          </w:tcPr>
          <w:p w14:paraId="2A51BAEE" w14:textId="77777777" w:rsidR="00626D75" w:rsidRPr="00B70F84" w:rsidRDefault="00626D75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lastRenderedPageBreak/>
              <w:t>Zakres proponowanych badań</w:t>
            </w:r>
          </w:p>
        </w:tc>
        <w:tc>
          <w:tcPr>
            <w:tcW w:w="3851" w:type="pct"/>
            <w:vMerge/>
            <w:vAlign w:val="center"/>
          </w:tcPr>
          <w:p w14:paraId="1C7CF722" w14:textId="77777777" w:rsidR="00626D75" w:rsidRPr="00B70F84" w:rsidRDefault="00626D75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626D75" w:rsidRPr="00B70F84" w14:paraId="192E909A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7F88D5D0" w14:textId="77777777" w:rsidR="00626D75" w:rsidRPr="00B70F84" w:rsidRDefault="00626D75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Zaplanowane techniki badawcze</w:t>
            </w:r>
          </w:p>
        </w:tc>
        <w:tc>
          <w:tcPr>
            <w:tcW w:w="3851" w:type="pct"/>
            <w:vMerge/>
            <w:vAlign w:val="center"/>
          </w:tcPr>
          <w:p w14:paraId="3F7F7EC1" w14:textId="77777777" w:rsidR="00626D75" w:rsidRPr="00B70F84" w:rsidRDefault="00626D75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2077F9" w:rsidRPr="00B70F84" w14:paraId="04638291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376F479D" w14:textId="6A125E7E" w:rsidR="002077F9" w:rsidRPr="00B70F84" w:rsidRDefault="002077F9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Opis przebiegu badania klinicznego</w:t>
            </w:r>
          </w:p>
        </w:tc>
        <w:tc>
          <w:tcPr>
            <w:tcW w:w="3851" w:type="pct"/>
            <w:vAlign w:val="center"/>
          </w:tcPr>
          <w:p w14:paraId="431B2B93" w14:textId="6F908507" w:rsidR="002077F9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wskazać k</w:t>
            </w:r>
            <w:r w:rsidR="002077F9" w:rsidRPr="00B70F84">
              <w:rPr>
                <w:rFonts w:ascii="Garamond" w:eastAsia="Times New Roman" w:hAnsi="Garamond" w:cstheme="minorHAnsi"/>
                <w:sz w:val="20"/>
                <w:szCs w:val="20"/>
              </w:rPr>
              <w:t>ryteria włączenia i wyłączenia pacjentów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oraz e</w:t>
            </w:r>
            <w:r w:rsidR="002077F9" w:rsidRPr="00B70F84">
              <w:rPr>
                <w:rFonts w:ascii="Garamond" w:eastAsia="Times New Roman" w:hAnsi="Garamond" w:cstheme="minorHAnsi"/>
                <w:sz w:val="20"/>
                <w:szCs w:val="20"/>
              </w:rPr>
              <w:t>tapy badania klinicznego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57178A" w:rsidRPr="00B70F84" w14:paraId="67DF7CA6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2A6E194C" w14:textId="77777777" w:rsidR="0057178A" w:rsidRPr="00B70F84" w:rsidRDefault="00626D75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Realizacja projektu</w:t>
            </w:r>
          </w:p>
        </w:tc>
        <w:tc>
          <w:tcPr>
            <w:tcW w:w="3851" w:type="pct"/>
            <w:vAlign w:val="center"/>
          </w:tcPr>
          <w:p w14:paraId="5CCD38AC" w14:textId="164C51D6" w:rsidR="00626D75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Należy opisać 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>planowa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ne (oczekiwane)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wynik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i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projektu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  <w:p w14:paraId="480403F0" w14:textId="0BC39700" w:rsidR="00626D75" w:rsidRPr="00B70F84" w:rsidRDefault="00626D75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Czy wnioskodawca przewiduje 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potencjalne 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trudności  podczas realizacj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i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projektu, jeżeli tak to jakie.</w:t>
            </w:r>
          </w:p>
          <w:p w14:paraId="0A6B95D0" w14:textId="74F96762" w:rsidR="0057178A" w:rsidRPr="00B70F84" w:rsidRDefault="003E5D76" w:rsidP="00603CBD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Należy wskazać 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>alternatywn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e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rozwiąza</w:t>
            </w: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nia</w:t>
            </w:r>
            <w:r w:rsidR="00626D75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w przypadku niepowodzenia </w:t>
            </w:r>
            <w:r w:rsidR="00603CBD" w:rsidRPr="00B70F84">
              <w:rPr>
                <w:rFonts w:ascii="Garamond" w:eastAsia="Times New Roman" w:hAnsi="Garamond" w:cstheme="minorHAnsi"/>
                <w:sz w:val="20"/>
                <w:szCs w:val="20"/>
              </w:rPr>
              <w:t>wybranych metod badawczych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  <w:p w14:paraId="78D6EA17" w14:textId="3932BF9F" w:rsidR="00603CBD" w:rsidRPr="00B70F84" w:rsidRDefault="00603CBD" w:rsidP="00603CBD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3B6BE3" w:rsidRPr="00B70F84" w14:paraId="08EF7A30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03BDD5BC" w14:textId="77777777" w:rsidR="003B6BE3" w:rsidRPr="00B70F84" w:rsidRDefault="003B6BE3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Harmonogram</w:t>
            </w:r>
          </w:p>
        </w:tc>
        <w:tc>
          <w:tcPr>
            <w:tcW w:w="3851" w:type="pct"/>
            <w:vAlign w:val="center"/>
          </w:tcPr>
          <w:p w14:paraId="24BD3037" w14:textId="678D5D20" w:rsidR="003B6BE3" w:rsidRPr="00B70F84" w:rsidRDefault="004035B3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Określenie okresu, czasu zadań zaplanowanych w projekcie</w:t>
            </w:r>
            <w:r w:rsidR="003E5D76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  <w:tr w:rsidR="003B6BE3" w:rsidRPr="00B70F84" w14:paraId="16CBEDCD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662F2C7F" w14:textId="77777777" w:rsidR="003B6BE3" w:rsidRPr="00B70F84" w:rsidRDefault="003B6BE3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t>Budżet projektu</w:t>
            </w:r>
          </w:p>
        </w:tc>
        <w:tc>
          <w:tcPr>
            <w:tcW w:w="3851" w:type="pct"/>
            <w:vAlign w:val="center"/>
          </w:tcPr>
          <w:p w14:paraId="53FE7669" w14:textId="77777777" w:rsidR="003B6BE3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Należy wskazać wnioskowaną kwotę  dofinansowania (max. 5 mln zł) w podziale na poszczególne główne kategorie wydatków:</w:t>
            </w:r>
          </w:p>
          <w:p w14:paraId="1A3B6C56" w14:textId="47D45BF6" w:rsidR="003E5D76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usługa medyczna</w:t>
            </w:r>
            <w:r w:rsidR="00F4322A"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 (należy określić jaka)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;</w:t>
            </w:r>
          </w:p>
          <w:p w14:paraId="751EBDD8" w14:textId="3EE3E76A" w:rsidR="003E5D76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zakup leku/leków/placebo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;</w:t>
            </w:r>
          </w:p>
          <w:p w14:paraId="7AB7688F" w14:textId="4831A6D2" w:rsidR="003E5D76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opracowanie protokołu badania klinicznego i koszty rejestracji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;</w:t>
            </w:r>
          </w:p>
          <w:p w14:paraId="13F8A5CF" w14:textId="33D9B3E9" w:rsidR="003E5D76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- CRO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;</w:t>
            </w:r>
          </w:p>
          <w:p w14:paraId="03D94F80" w14:textId="77777777" w:rsidR="003E5D76" w:rsidRPr="00B70F84" w:rsidRDefault="003E5D76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 xml:space="preserve">- wynagrodzenie personelu medycznego 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  <w:p w14:paraId="14A3C913" w14:textId="77777777" w:rsidR="00F4322A" w:rsidRPr="00B70F84" w:rsidRDefault="00F4322A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3537"/>
              <w:gridCol w:w="2136"/>
              <w:gridCol w:w="2136"/>
              <w:gridCol w:w="2136"/>
            </w:tblGrid>
            <w:tr w:rsidR="00F4322A" w:rsidRPr="00B70F84" w14:paraId="0A758804" w14:textId="77777777" w:rsidTr="00F4322A">
              <w:tc>
                <w:tcPr>
                  <w:tcW w:w="381" w:type="dxa"/>
                </w:tcPr>
                <w:p w14:paraId="5E7982DA" w14:textId="1DE9F05E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  <w:r w:rsidRPr="00B70F84"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  <w:lastRenderedPageBreak/>
                    <w:t>Lp</w:t>
                  </w:r>
                </w:p>
              </w:tc>
              <w:tc>
                <w:tcPr>
                  <w:tcW w:w="3537" w:type="dxa"/>
                </w:tcPr>
                <w:p w14:paraId="26D0FFA2" w14:textId="348E9F14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  <w:r w:rsidRPr="00B70F84"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  <w:t xml:space="preserve">Kategoria wydatku </w:t>
                  </w:r>
                </w:p>
              </w:tc>
              <w:tc>
                <w:tcPr>
                  <w:tcW w:w="2136" w:type="dxa"/>
                </w:tcPr>
                <w:p w14:paraId="0FE32196" w14:textId="1A8621F2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  <w:r w:rsidRPr="00B70F84"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  <w:t>Wydatki 2020</w:t>
                  </w:r>
                </w:p>
              </w:tc>
              <w:tc>
                <w:tcPr>
                  <w:tcW w:w="2136" w:type="dxa"/>
                </w:tcPr>
                <w:p w14:paraId="178C2534" w14:textId="3A78600A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  <w:r w:rsidRPr="00B70F84"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  <w:t>Wydatki 2021</w:t>
                  </w:r>
                </w:p>
              </w:tc>
              <w:tc>
                <w:tcPr>
                  <w:tcW w:w="2136" w:type="dxa"/>
                </w:tcPr>
                <w:p w14:paraId="767BE7B8" w14:textId="45A14215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  <w:r w:rsidRPr="00B70F84"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  <w:t>Wydatki RAZEM</w:t>
                  </w:r>
                </w:p>
              </w:tc>
            </w:tr>
            <w:tr w:rsidR="00F4322A" w:rsidRPr="00B70F84" w14:paraId="4906EE92" w14:textId="77777777" w:rsidTr="00F4322A">
              <w:tc>
                <w:tcPr>
                  <w:tcW w:w="381" w:type="dxa"/>
                </w:tcPr>
                <w:p w14:paraId="2003A7EC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7" w:type="dxa"/>
                </w:tcPr>
                <w:p w14:paraId="7C304EFC" w14:textId="769DD50F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59EFB2D4" w14:textId="3AEB9E9A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5BAC63C1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7F7BBCCD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</w:tr>
            <w:tr w:rsidR="00F4322A" w:rsidRPr="00B70F84" w14:paraId="12B88D16" w14:textId="77777777" w:rsidTr="00F4322A">
              <w:tc>
                <w:tcPr>
                  <w:tcW w:w="381" w:type="dxa"/>
                </w:tcPr>
                <w:p w14:paraId="0E901A65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7" w:type="dxa"/>
                </w:tcPr>
                <w:p w14:paraId="63FE41D6" w14:textId="474DCBCC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29FB38AC" w14:textId="64531FF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25B9EBF6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</w:tcPr>
                <w:p w14:paraId="689E0F29" w14:textId="77777777" w:rsidR="00F4322A" w:rsidRPr="00B70F84" w:rsidRDefault="00F4322A" w:rsidP="0050336C">
                  <w:pPr>
                    <w:keepNext/>
                    <w:suppressAutoHyphens/>
                    <w:spacing w:after="240"/>
                    <w:jc w:val="both"/>
                    <w:outlineLvl w:val="1"/>
                    <w:rPr>
                      <w:rFonts w:ascii="Garamond" w:eastAsia="Times New Roman" w:hAnsi="Garamond" w:cstheme="minorHAnsi"/>
                      <w:sz w:val="20"/>
                      <w:szCs w:val="20"/>
                    </w:rPr>
                  </w:pPr>
                </w:p>
              </w:tc>
            </w:tr>
          </w:tbl>
          <w:p w14:paraId="3ACAF2A8" w14:textId="42CB846B" w:rsidR="00F4322A" w:rsidRPr="00B70F84" w:rsidRDefault="00F4322A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154CDD" w:rsidRPr="00B70F84" w14:paraId="2A03459A" w14:textId="77777777" w:rsidTr="004E176C">
        <w:trPr>
          <w:trHeight w:val="690"/>
        </w:trPr>
        <w:tc>
          <w:tcPr>
            <w:tcW w:w="1149" w:type="pct"/>
            <w:shd w:val="clear" w:color="auto" w:fill="auto"/>
            <w:vAlign w:val="center"/>
          </w:tcPr>
          <w:p w14:paraId="083773E6" w14:textId="018DDC0A" w:rsidR="00154CDD" w:rsidRPr="00B70F84" w:rsidRDefault="00154CDD" w:rsidP="003B6BE3">
            <w:pPr>
              <w:suppressAutoHyphens/>
              <w:spacing w:after="0" w:line="276" w:lineRule="auto"/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</w:pPr>
            <w:r w:rsidRPr="00B70F84">
              <w:rPr>
                <w:rFonts w:ascii="Garamond" w:eastAsia="SimSun" w:hAnsi="Garamond" w:cstheme="minorHAnsi"/>
                <w:b/>
                <w:kern w:val="1"/>
                <w:sz w:val="24"/>
                <w:szCs w:val="24"/>
                <w:lang w:eastAsia="zh-CN"/>
              </w:rPr>
              <w:lastRenderedPageBreak/>
              <w:t>Referencje</w:t>
            </w:r>
          </w:p>
        </w:tc>
        <w:tc>
          <w:tcPr>
            <w:tcW w:w="3851" w:type="pct"/>
            <w:vAlign w:val="center"/>
          </w:tcPr>
          <w:p w14:paraId="5265E4B1" w14:textId="1CED74E9" w:rsidR="00154CDD" w:rsidRPr="00B70F84" w:rsidRDefault="00D644A8" w:rsidP="0050336C">
            <w:pPr>
              <w:keepNext/>
              <w:suppressAutoHyphens/>
              <w:spacing w:after="240" w:line="240" w:lineRule="auto"/>
              <w:jc w:val="both"/>
              <w:outlineLvl w:val="1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B70F84">
              <w:rPr>
                <w:rFonts w:ascii="Garamond" w:eastAsia="Times New Roman" w:hAnsi="Garamond" w:cstheme="minorHAnsi"/>
                <w:sz w:val="20"/>
                <w:szCs w:val="20"/>
              </w:rPr>
              <w:t>Lista najnowszych publikacji dotyczących tematyki projektu</w:t>
            </w:r>
            <w:r w:rsidR="00A06790" w:rsidRPr="00B70F84">
              <w:rPr>
                <w:rFonts w:ascii="Garamond" w:eastAsia="Times New Roman" w:hAnsi="Garamond" w:cstheme="minorHAnsi"/>
                <w:sz w:val="20"/>
                <w:szCs w:val="20"/>
              </w:rPr>
              <w:t>.</w:t>
            </w:r>
          </w:p>
        </w:tc>
      </w:tr>
    </w:tbl>
    <w:p w14:paraId="286E91FD" w14:textId="77777777" w:rsidR="00AF52ED" w:rsidRPr="00B70F84" w:rsidRDefault="00AF52ED">
      <w:pPr>
        <w:rPr>
          <w:rFonts w:ascii="Garamond" w:hAnsi="Garamond" w:cstheme="minorHAnsi"/>
        </w:rPr>
      </w:pPr>
    </w:p>
    <w:p w14:paraId="53ED144E" w14:textId="77777777" w:rsidR="000534F1" w:rsidRPr="00B70F84" w:rsidRDefault="000534F1" w:rsidP="000534F1">
      <w:p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930E9F9" w14:textId="77777777" w:rsidR="000534F1" w:rsidRPr="00B70F84" w:rsidRDefault="000534F1" w:rsidP="000534F1">
      <w:p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70F84">
        <w:rPr>
          <w:rFonts w:ascii="Garamond" w:hAnsi="Garamond" w:cstheme="minorHAnsi"/>
          <w:b/>
          <w:sz w:val="24"/>
          <w:szCs w:val="24"/>
        </w:rPr>
        <w:t xml:space="preserve">Klauzula informacyjna </w:t>
      </w:r>
    </w:p>
    <w:p w14:paraId="748CD609" w14:textId="77777777" w:rsidR="000534F1" w:rsidRPr="00B70F84" w:rsidRDefault="000534F1" w:rsidP="000534F1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danych- RODO,  (Dz. Urz. UE L 119/1 z 4.05.2016 r.) informujemy, że:</w:t>
      </w:r>
    </w:p>
    <w:p w14:paraId="59FC1CA4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Fonts w:ascii="Garamond" w:hAnsi="Garamond" w:cstheme="minorHAnsi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>Administratorem Państwa danych osobowych jest Prezes Agencji Badań Medycznych, przy ul. Moniuszki 1A, 00-014 Warszawa.</w:t>
      </w:r>
    </w:p>
    <w:p w14:paraId="37E3A5B5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 w:cstheme="minorHAnsi"/>
          <w:color w:val="0B1F35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 xml:space="preserve">Administrator powołał Inspektora Ochrony Danych, z którym można się skontaktować pod adresem - </w:t>
      </w:r>
      <w:hyperlink r:id="rId8" w:history="1">
        <w:r w:rsidRPr="00B70F84">
          <w:rPr>
            <w:rStyle w:val="Hipercze"/>
            <w:rFonts w:ascii="Garamond" w:hAnsi="Garamond" w:cstheme="minorHAnsi"/>
            <w:sz w:val="24"/>
            <w:szCs w:val="24"/>
          </w:rPr>
          <w:t>iod@abm.gov.pl</w:t>
        </w:r>
      </w:hyperlink>
      <w:r w:rsidRPr="00B70F84">
        <w:rPr>
          <w:rFonts w:ascii="Garamond" w:hAnsi="Garamond" w:cstheme="minorHAnsi"/>
          <w:sz w:val="24"/>
          <w:szCs w:val="24"/>
        </w:rPr>
        <w:t>.</w:t>
      </w:r>
    </w:p>
    <w:p w14:paraId="3358DA56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Style w:val="s3"/>
          <w:rFonts w:ascii="Garamond" w:hAnsi="Garamond"/>
          <w:color w:val="000000"/>
        </w:rPr>
      </w:pPr>
      <w:r w:rsidRPr="00B70F84">
        <w:rPr>
          <w:rFonts w:ascii="Garamond" w:hAnsi="Garamond" w:cstheme="minorHAnsi"/>
          <w:sz w:val="24"/>
          <w:szCs w:val="24"/>
        </w:rPr>
        <w:t xml:space="preserve">Państwa </w:t>
      </w: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dane osobowe są przetwarzane w celu:</w:t>
      </w:r>
    </w:p>
    <w:p w14:paraId="72BCD6F4" w14:textId="411F8386" w:rsidR="000534F1" w:rsidRPr="00B70F84" w:rsidRDefault="000534F1" w:rsidP="000534F1">
      <w:pPr>
        <w:pStyle w:val="Akapitzlist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przeprowadzenia oceny wniosku o dofinansowanie, na podstawie art. 6 ust. 1 lit. </w:t>
      </w:r>
      <w:r w:rsidR="00EE7BDF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c oraz e</w:t>
      </w: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 RODO,</w:t>
      </w:r>
    </w:p>
    <w:p w14:paraId="518F33F1" w14:textId="71059421" w:rsidR="000534F1" w:rsidRPr="00B70F84" w:rsidRDefault="000534F1" w:rsidP="000534F1">
      <w:pPr>
        <w:pStyle w:val="Akapitzlist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dokonania wszelkich czynności składających się na proces zawarcia i realizacji umowy o wykonanie i finansowanie projektu </w:t>
      </w:r>
      <w:r w:rsidR="00EE7BDF" w:rsidRPr="00B70F84">
        <w:rPr>
          <w:rFonts w:ascii="Garamond" w:hAnsi="Garamond" w:cstheme="minorHAnsi"/>
          <w:color w:val="000000" w:themeColor="text1"/>
          <w:sz w:val="24"/>
          <w:szCs w:val="24"/>
        </w:rPr>
        <w:t xml:space="preserve">niekomercyjnych badań klinicznych dotyczących sytuacji epidemiologicznej związanej COVID-19 </w:t>
      </w: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na podstawie art. 6 ust. 1 lit. b RODO,</w:t>
      </w:r>
    </w:p>
    <w:p w14:paraId="7DC89491" w14:textId="61A7ED59" w:rsidR="000534F1" w:rsidRPr="00B70F84" w:rsidRDefault="000534F1" w:rsidP="00F92C18">
      <w:pPr>
        <w:pStyle w:val="Akapitzlist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w przypadku uzyskania dofinansowania, jego ewa</w:t>
      </w:r>
      <w:r w:rsidR="00F92C18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luacji</w:t>
      </w:r>
      <w:r w:rsidR="002255B7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,</w:t>
      </w:r>
      <w:r w:rsidR="00F92C18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 realizacji zadań Agencji, </w:t>
      </w: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kontroli, audytu, oceny działań </w:t>
      </w:r>
      <w:proofErr w:type="spellStart"/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informacyjno</w:t>
      </w:r>
      <w:proofErr w:type="spellEnd"/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 – </w:t>
      </w: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lastRenderedPageBreak/>
        <w:t>promocyjnych, jego odbioru, oceny i rozliczenia finansowego, na podstawie art. 6 ust. 1 lit. e RODO – przetwarzanie jest niezbędne do wykonania zadania realizowanego w interesie publicznym lub sprawowania władzy publicznej powierzonej Administratorowi oraz art. 6 ust. 1 lit. c RODO i ustawy z dnia 21 lutego 2019r. o Agencji Badań Medycznych (Dz.U. 2019 poz. 447)</w:t>
      </w:r>
      <w:r w:rsidR="00F92C18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 oraz </w:t>
      </w:r>
      <w:r w:rsidR="00CB2446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u</w:t>
      </w:r>
      <w:r w:rsidR="00F92C18"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stawy z dnia 31 marca 2020 r. o zmianie niektórych ustaw w zakresie systemu ochrony zdrowia związanych z zapobieganiem, przeciwdziałaniem i zwalczaniem COVID-19,</w:t>
      </w:r>
    </w:p>
    <w:p w14:paraId="12F86DB9" w14:textId="77777777" w:rsidR="000534F1" w:rsidRPr="00B70F84" w:rsidRDefault="000534F1" w:rsidP="000534F1">
      <w:pPr>
        <w:pStyle w:val="Akapitzlist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ochrony prawnie uzasadnionego interesu Administratora czyli ewentualnego ustalenia, dochodzenia lub obrony przed roszczeniami na podstawie art. 6 ust. 1 lit. f RODO oraz art. 9 ust. 2 lit. f RODO. </w:t>
      </w:r>
    </w:p>
    <w:p w14:paraId="5F960D2D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Państwa dane osobowe mogą być przekazywane do organów publicznych i urzędów państwowych lub innych podmiotów upoważnionych na podstawie przepisów prawa lub wykonujących zadania realizowane w interesie publicznym lub w ramach sprawowania władzy publicznej. Państwa dane osobowe mogą zostać udostępnione przez nas podmiotom, które obsługują systemy teleinformatyczne Administratora oraz udostępniające narzędzia teleinformatyczne, świadczące usługi kurierskie, a także </w:t>
      </w:r>
      <w:r w:rsidRPr="00B70F84">
        <w:rPr>
          <w:rStyle w:val="s3"/>
          <w:rFonts w:ascii="Garamond" w:hAnsi="Garamond"/>
          <w:color w:val="000000"/>
          <w:sz w:val="24"/>
          <w:szCs w:val="24"/>
        </w:rPr>
        <w:t>instytucjom oraz ekspertom dokonującym ewaluacji i oceny.</w:t>
      </w:r>
    </w:p>
    <w:p w14:paraId="1A844F51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 xml:space="preserve">Nie przetwarzamy Państwa danych osobowych w sposób zautomatyzowany, w tym w formie profilowania. </w:t>
      </w:r>
    </w:p>
    <w:p w14:paraId="60E39357" w14:textId="7F3581C9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Style w:val="s3"/>
          <w:rFonts w:ascii="Garamond" w:hAnsi="Garamond" w:cstheme="minorHAnsi"/>
          <w:color w:val="000000"/>
          <w:sz w:val="24"/>
          <w:szCs w:val="24"/>
        </w:rPr>
      </w:pPr>
      <w:r w:rsidRPr="00B70F84">
        <w:rPr>
          <w:rStyle w:val="s3"/>
          <w:rFonts w:ascii="Garamond" w:hAnsi="Garamond" w:cstheme="minorHAnsi"/>
          <w:color w:val="000000"/>
          <w:sz w:val="24"/>
          <w:szCs w:val="24"/>
        </w:rPr>
        <w:t>Państwa dane osobowe będą przetwarzane przez okres rozpatrywania i załatwiania wniosku dotyczącego wykonania projektu, podczas trwania projektu oraz po jego załatwieniu zgodnie z przepisami dotyczącymi archiwizacji, a także do czasu przedawnienia ewentualnych roszczeń.</w:t>
      </w:r>
    </w:p>
    <w:p w14:paraId="1598644C" w14:textId="789E9C79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/>
        </w:rPr>
      </w:pPr>
      <w:r w:rsidRPr="00B70F84">
        <w:rPr>
          <w:rFonts w:ascii="Garamond" w:hAnsi="Garamond" w:cstheme="minorHAnsi"/>
          <w:sz w:val="24"/>
          <w:szCs w:val="24"/>
        </w:rPr>
        <w:t>Posiadają Państwo prawo do żądania od</w:t>
      </w:r>
      <w:r w:rsidRPr="00B70F84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70F84">
        <w:rPr>
          <w:rFonts w:ascii="Garamond" w:hAnsi="Garamond" w:cstheme="minorHAnsi"/>
          <w:sz w:val="24"/>
          <w:szCs w:val="24"/>
        </w:rPr>
        <w:t>Administratora dostępu do swoich danych osobowych, ich</w:t>
      </w:r>
      <w:r w:rsidRPr="00B70F84">
        <w:rPr>
          <w:rFonts w:ascii="Garamond" w:hAnsi="Garamond" w:cstheme="minorHAnsi"/>
          <w:spacing w:val="57"/>
          <w:sz w:val="24"/>
          <w:szCs w:val="24"/>
        </w:rPr>
        <w:t xml:space="preserve"> </w:t>
      </w:r>
      <w:r w:rsidRPr="00B70F84">
        <w:rPr>
          <w:rFonts w:ascii="Garamond" w:hAnsi="Garamond" w:cstheme="minorHAnsi"/>
          <w:sz w:val="24"/>
          <w:szCs w:val="24"/>
        </w:rPr>
        <w:t>sprostowania, ograniczenia</w:t>
      </w:r>
      <w:r w:rsidRPr="00B70F84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="00A96EC8" w:rsidRPr="00B70F84">
        <w:rPr>
          <w:rFonts w:ascii="Garamond" w:hAnsi="Garamond" w:cstheme="minorHAnsi"/>
          <w:sz w:val="24"/>
          <w:szCs w:val="24"/>
        </w:rPr>
        <w:t>przetwarzania.</w:t>
      </w:r>
    </w:p>
    <w:p w14:paraId="124C7C79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>Posiadają Państwo także prawo do wniesienia sprzeciwu.</w:t>
      </w:r>
    </w:p>
    <w:p w14:paraId="1B4FDEAA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>Mają Państwo prawo wniesienia skargi do organu nadzorczego, tj. Prezesa Urzędu Ochrony Danych Osobowych.</w:t>
      </w:r>
    </w:p>
    <w:p w14:paraId="621DD5C8" w14:textId="77777777" w:rsidR="000534F1" w:rsidRPr="00B70F84" w:rsidRDefault="000534F1" w:rsidP="000534F1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 w:cstheme="minorHAnsi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t>Podanie danych osobowych jest dobrowolne, jednak ich nie podanie będzie skutkowało  brakiem możliwości dokonania oceny i wyboru wniosku dotyczącego wykonania projektu, zawarcia umowy o wykonanie projektu i jego finansowanie oraz nadzoru nad wykonaniem projektu, jego ewaluację, kontrolę, audyt, ocenę działań informacyjno-promocyjnych, odbiór, ocenę i rozliczenie finansowe.</w:t>
      </w:r>
    </w:p>
    <w:p w14:paraId="79284FAF" w14:textId="659DB988" w:rsidR="00076D7F" w:rsidRPr="00B70F84" w:rsidRDefault="000534F1" w:rsidP="00076D7F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2" w:after="0" w:line="360" w:lineRule="auto"/>
        <w:ind w:right="112" w:hanging="427"/>
        <w:jc w:val="both"/>
        <w:rPr>
          <w:rFonts w:ascii="Garamond" w:hAnsi="Garamond" w:cstheme="minorHAnsi"/>
          <w:sz w:val="24"/>
          <w:szCs w:val="24"/>
        </w:rPr>
      </w:pPr>
      <w:r w:rsidRPr="00B70F84">
        <w:rPr>
          <w:rFonts w:ascii="Garamond" w:hAnsi="Garamond" w:cstheme="minorHAnsi"/>
          <w:sz w:val="24"/>
          <w:szCs w:val="24"/>
        </w:rPr>
        <w:lastRenderedPageBreak/>
        <w:t>Państwa dane osobowe nie będą przekazywane do państwa trzeciego/ organizacji międzynarodowej, o ile nie będą tego wymagały prawne obowiązki Administratora.</w:t>
      </w:r>
    </w:p>
    <w:p w14:paraId="323BBF30" w14:textId="0E2C9CBE" w:rsidR="00076D7F" w:rsidRPr="00B70F84" w:rsidRDefault="00CB2446" w:rsidP="00076D7F">
      <w:pPr>
        <w:widowControl w:val="0"/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Fonts w:ascii="Garamond" w:hAnsi="Garamond" w:cstheme="minorHAnsi"/>
          <w:sz w:val="24"/>
          <w:szCs w:val="24"/>
        </w:rPr>
      </w:pPr>
      <w:r w:rsidRPr="00B70F84">
        <w:rPr>
          <w:rFonts w:ascii="Garamond" w:hAnsi="Garamond" w:cs="Tahoma"/>
          <w:sz w:val="24"/>
          <w:szCs w:val="24"/>
        </w:rPr>
        <w:t xml:space="preserve">Wnioskodawca </w:t>
      </w:r>
      <w:r w:rsidR="00144F84" w:rsidRPr="00B70F84">
        <w:rPr>
          <w:rFonts w:ascii="Garamond" w:hAnsi="Garamond" w:cs="Tahoma"/>
          <w:sz w:val="24"/>
          <w:szCs w:val="24"/>
        </w:rPr>
        <w:t xml:space="preserve">przesyłając wniosek </w:t>
      </w:r>
      <w:r w:rsidRPr="00B70F84">
        <w:rPr>
          <w:rFonts w:ascii="Garamond" w:hAnsi="Garamond" w:cs="Tahoma"/>
          <w:sz w:val="24"/>
          <w:szCs w:val="24"/>
        </w:rPr>
        <w:t>z</w:t>
      </w:r>
      <w:r w:rsidR="00076D7F" w:rsidRPr="00B70F84">
        <w:rPr>
          <w:rFonts w:ascii="Garamond" w:hAnsi="Garamond" w:cs="Tahoma"/>
          <w:sz w:val="24"/>
          <w:szCs w:val="24"/>
        </w:rPr>
        <w:t>obowiązuje się w imieniu Administratora danych osobowych (Prezesa Agencji Badań Medycznych) do spełnienia obowiązku informacyjnego wobec osób</w:t>
      </w:r>
      <w:r w:rsidRPr="00B70F84">
        <w:rPr>
          <w:rFonts w:ascii="Garamond" w:hAnsi="Garamond" w:cs="Tahoma"/>
          <w:sz w:val="24"/>
          <w:szCs w:val="24"/>
        </w:rPr>
        <w:t xml:space="preserve"> fizycznych</w:t>
      </w:r>
      <w:r w:rsidR="00076D7F" w:rsidRPr="00B70F84">
        <w:rPr>
          <w:rFonts w:ascii="Garamond" w:hAnsi="Garamond" w:cs="Tahoma"/>
          <w:sz w:val="24"/>
          <w:szCs w:val="24"/>
        </w:rPr>
        <w:t xml:space="preserve">, których dane są zawarte we wniosku. (treść klauzuli dla </w:t>
      </w:r>
      <w:r w:rsidR="00F130AE" w:rsidRPr="00B70F84">
        <w:rPr>
          <w:rFonts w:ascii="Garamond" w:hAnsi="Garamond" w:cs="Tahoma"/>
          <w:sz w:val="24"/>
          <w:szCs w:val="24"/>
        </w:rPr>
        <w:t xml:space="preserve">tych </w:t>
      </w:r>
      <w:r w:rsidR="00076D7F" w:rsidRPr="00B70F84">
        <w:rPr>
          <w:rFonts w:ascii="Garamond" w:hAnsi="Garamond" w:cs="Tahoma"/>
          <w:sz w:val="24"/>
          <w:szCs w:val="24"/>
        </w:rPr>
        <w:t>osób zawiera załącznik nr 1 do wniosku).</w:t>
      </w:r>
    </w:p>
    <w:p w14:paraId="497E5DAE" w14:textId="77777777" w:rsidR="00C900A1" w:rsidRPr="00B70F84" w:rsidRDefault="00C900A1" w:rsidP="00DB1DE3">
      <w:pPr>
        <w:widowControl w:val="0"/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Fonts w:ascii="Garamond" w:hAnsi="Garamond" w:cstheme="minorHAnsi"/>
          <w:sz w:val="24"/>
          <w:szCs w:val="24"/>
        </w:rPr>
      </w:pPr>
    </w:p>
    <w:p w14:paraId="0ACAE619" w14:textId="34569842" w:rsidR="000534F1" w:rsidRPr="00B70F84" w:rsidRDefault="000534F1" w:rsidP="00076D7F">
      <w:pPr>
        <w:widowControl w:val="0"/>
        <w:tabs>
          <w:tab w:val="left" w:pos="544"/>
        </w:tabs>
        <w:autoSpaceDE w:val="0"/>
        <w:autoSpaceDN w:val="0"/>
        <w:spacing w:before="2" w:after="0" w:line="360" w:lineRule="auto"/>
        <w:ind w:right="112"/>
        <w:jc w:val="both"/>
        <w:rPr>
          <w:rFonts w:ascii="Garamond" w:hAnsi="Garamond" w:cstheme="minorHAnsi"/>
          <w:sz w:val="24"/>
          <w:szCs w:val="24"/>
        </w:rPr>
      </w:pPr>
    </w:p>
    <w:sectPr w:rsidR="000534F1" w:rsidRPr="00B70F84" w:rsidSect="00076D7F">
      <w:headerReference w:type="default" r:id="rId9"/>
      <w:footerReference w:type="default" r:id="rId10"/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FB88" w14:textId="77777777" w:rsidR="00460A33" w:rsidRDefault="00460A33" w:rsidP="00917B90">
      <w:pPr>
        <w:spacing w:after="0" w:line="240" w:lineRule="auto"/>
      </w:pPr>
      <w:r>
        <w:separator/>
      </w:r>
    </w:p>
  </w:endnote>
  <w:endnote w:type="continuationSeparator" w:id="0">
    <w:p w14:paraId="7CB4BC2A" w14:textId="77777777" w:rsidR="00460A33" w:rsidRDefault="00460A33" w:rsidP="0091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024087211"/>
      <w:docPartObj>
        <w:docPartGallery w:val="Page Numbers (Bottom of Page)"/>
        <w:docPartUnique/>
      </w:docPartObj>
    </w:sdtPr>
    <w:sdtEndPr/>
    <w:sdtContent>
      <w:p w14:paraId="42543628" w14:textId="465EF36D" w:rsidR="00D77C94" w:rsidRDefault="00D77C9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96EC8" w:rsidRPr="00A96EC8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72E07F" w14:textId="77777777" w:rsidR="00D77C94" w:rsidRDefault="00D77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FFE4" w14:textId="77777777" w:rsidR="00460A33" w:rsidRDefault="00460A33" w:rsidP="00917B90">
      <w:pPr>
        <w:spacing w:after="0" w:line="240" w:lineRule="auto"/>
      </w:pPr>
      <w:r>
        <w:separator/>
      </w:r>
    </w:p>
  </w:footnote>
  <w:footnote w:type="continuationSeparator" w:id="0">
    <w:p w14:paraId="4028A9EF" w14:textId="77777777" w:rsidR="00460A33" w:rsidRDefault="00460A33" w:rsidP="0091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9FFC" w14:textId="6DC113D8" w:rsidR="00917B90" w:rsidRDefault="00D77C94">
    <w:pPr>
      <w:pStyle w:val="Nagwek"/>
    </w:pPr>
    <w:r>
      <w:rPr>
        <w:noProof/>
        <w:lang w:eastAsia="pl-PL"/>
      </w:rPr>
      <w:drawing>
        <wp:inline distT="0" distB="0" distL="0" distR="0" wp14:anchorId="279DED3E" wp14:editId="70A33B7D">
          <wp:extent cx="2289810" cy="9544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72F5"/>
    <w:multiLevelType w:val="hybridMultilevel"/>
    <w:tmpl w:val="11B6DD96"/>
    <w:lvl w:ilvl="0" w:tplc="612086A0">
      <w:start w:val="1"/>
      <w:numFmt w:val="lowerLetter"/>
      <w:lvlText w:val="%1)"/>
      <w:lvlJc w:val="left"/>
      <w:pPr>
        <w:ind w:left="1320" w:hanging="360"/>
      </w:pPr>
      <w:rPr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563F6620"/>
    <w:multiLevelType w:val="hybridMultilevel"/>
    <w:tmpl w:val="974A8922"/>
    <w:lvl w:ilvl="0" w:tplc="8036270E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spacing w:val="-6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11" w:hanging="360"/>
      </w:pPr>
      <w:rPr>
        <w:w w:val="100"/>
        <w:sz w:val="24"/>
        <w:szCs w:val="24"/>
        <w:lang w:val="pl-PL" w:eastAsia="pl-PL" w:bidi="pl-PL"/>
      </w:rPr>
    </w:lvl>
    <w:lvl w:ilvl="2" w:tplc="DE4CB2BA">
      <w:numFmt w:val="bullet"/>
      <w:lvlText w:val="•"/>
      <w:lvlJc w:val="left"/>
      <w:pPr>
        <w:ind w:left="2207" w:hanging="360"/>
      </w:pPr>
      <w:rPr>
        <w:lang w:val="pl-PL" w:eastAsia="pl-PL" w:bidi="pl-PL"/>
      </w:rPr>
    </w:lvl>
    <w:lvl w:ilvl="3" w:tplc="27CAB35C">
      <w:numFmt w:val="bullet"/>
      <w:lvlText w:val="•"/>
      <w:lvlJc w:val="left"/>
      <w:pPr>
        <w:ind w:left="3094" w:hanging="360"/>
      </w:pPr>
      <w:rPr>
        <w:lang w:val="pl-PL" w:eastAsia="pl-PL" w:bidi="pl-PL"/>
      </w:rPr>
    </w:lvl>
    <w:lvl w:ilvl="4" w:tplc="7856E9E6">
      <w:numFmt w:val="bullet"/>
      <w:lvlText w:val="•"/>
      <w:lvlJc w:val="left"/>
      <w:pPr>
        <w:ind w:left="3982" w:hanging="360"/>
      </w:pPr>
      <w:rPr>
        <w:lang w:val="pl-PL" w:eastAsia="pl-PL" w:bidi="pl-PL"/>
      </w:rPr>
    </w:lvl>
    <w:lvl w:ilvl="5" w:tplc="B5AE462A">
      <w:numFmt w:val="bullet"/>
      <w:lvlText w:val="•"/>
      <w:lvlJc w:val="left"/>
      <w:pPr>
        <w:ind w:left="4869" w:hanging="360"/>
      </w:pPr>
      <w:rPr>
        <w:lang w:val="pl-PL" w:eastAsia="pl-PL" w:bidi="pl-PL"/>
      </w:rPr>
    </w:lvl>
    <w:lvl w:ilvl="6" w:tplc="048A948C">
      <w:numFmt w:val="bullet"/>
      <w:lvlText w:val="•"/>
      <w:lvlJc w:val="left"/>
      <w:pPr>
        <w:ind w:left="5756" w:hanging="360"/>
      </w:pPr>
      <w:rPr>
        <w:lang w:val="pl-PL" w:eastAsia="pl-PL" w:bidi="pl-PL"/>
      </w:rPr>
    </w:lvl>
    <w:lvl w:ilvl="7" w:tplc="519C57C2">
      <w:numFmt w:val="bullet"/>
      <w:lvlText w:val="•"/>
      <w:lvlJc w:val="left"/>
      <w:pPr>
        <w:ind w:left="6644" w:hanging="360"/>
      </w:pPr>
      <w:rPr>
        <w:lang w:val="pl-PL" w:eastAsia="pl-PL" w:bidi="pl-PL"/>
      </w:rPr>
    </w:lvl>
    <w:lvl w:ilvl="8" w:tplc="38BAB09E">
      <w:numFmt w:val="bullet"/>
      <w:lvlText w:val="•"/>
      <w:lvlJc w:val="left"/>
      <w:pPr>
        <w:ind w:left="7531" w:hanging="360"/>
      </w:pPr>
      <w:rPr>
        <w:lang w:val="pl-PL" w:eastAsia="pl-PL" w:bidi="pl-PL"/>
      </w:rPr>
    </w:lvl>
  </w:abstractNum>
  <w:abstractNum w:abstractNumId="2" w15:restartNumberingAfterBreak="0">
    <w:nsid w:val="7BDB5BF2"/>
    <w:multiLevelType w:val="hybridMultilevel"/>
    <w:tmpl w:val="81AAF448"/>
    <w:lvl w:ilvl="0" w:tplc="E8A8F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36C"/>
    <w:rsid w:val="000534F1"/>
    <w:rsid w:val="00076D7F"/>
    <w:rsid w:val="00094BF5"/>
    <w:rsid w:val="000A2BB4"/>
    <w:rsid w:val="000C4C5D"/>
    <w:rsid w:val="00137E8C"/>
    <w:rsid w:val="00144F84"/>
    <w:rsid w:val="00154CDD"/>
    <w:rsid w:val="002077F9"/>
    <w:rsid w:val="00224C5B"/>
    <w:rsid w:val="002255B7"/>
    <w:rsid w:val="00253C72"/>
    <w:rsid w:val="00385857"/>
    <w:rsid w:val="003B64C3"/>
    <w:rsid w:val="003B6BE3"/>
    <w:rsid w:val="003B7AF6"/>
    <w:rsid w:val="003C13C1"/>
    <w:rsid w:val="003E5D76"/>
    <w:rsid w:val="004035B3"/>
    <w:rsid w:val="00460A33"/>
    <w:rsid w:val="004E176C"/>
    <w:rsid w:val="0050336C"/>
    <w:rsid w:val="00506AE6"/>
    <w:rsid w:val="00560526"/>
    <w:rsid w:val="005634F0"/>
    <w:rsid w:val="0057178A"/>
    <w:rsid w:val="005B4749"/>
    <w:rsid w:val="00603CBD"/>
    <w:rsid w:val="00626D75"/>
    <w:rsid w:val="00634D53"/>
    <w:rsid w:val="00653951"/>
    <w:rsid w:val="006B6D2B"/>
    <w:rsid w:val="006C06EB"/>
    <w:rsid w:val="006F384B"/>
    <w:rsid w:val="00706A68"/>
    <w:rsid w:val="0071055B"/>
    <w:rsid w:val="00744027"/>
    <w:rsid w:val="0087494C"/>
    <w:rsid w:val="008A0EB7"/>
    <w:rsid w:val="008B4495"/>
    <w:rsid w:val="008D0753"/>
    <w:rsid w:val="008D22F3"/>
    <w:rsid w:val="00911A23"/>
    <w:rsid w:val="00917B90"/>
    <w:rsid w:val="009B4622"/>
    <w:rsid w:val="009F6981"/>
    <w:rsid w:val="00A06790"/>
    <w:rsid w:val="00A47AE0"/>
    <w:rsid w:val="00A64AA2"/>
    <w:rsid w:val="00A72D52"/>
    <w:rsid w:val="00A96EC8"/>
    <w:rsid w:val="00AC4590"/>
    <w:rsid w:val="00AF52ED"/>
    <w:rsid w:val="00B55783"/>
    <w:rsid w:val="00B70F84"/>
    <w:rsid w:val="00B958C5"/>
    <w:rsid w:val="00BA0326"/>
    <w:rsid w:val="00BD6BCD"/>
    <w:rsid w:val="00C900A1"/>
    <w:rsid w:val="00C90B63"/>
    <w:rsid w:val="00CB2446"/>
    <w:rsid w:val="00CB7EF4"/>
    <w:rsid w:val="00CC3AF2"/>
    <w:rsid w:val="00D644A8"/>
    <w:rsid w:val="00D77C94"/>
    <w:rsid w:val="00D87865"/>
    <w:rsid w:val="00DA3F25"/>
    <w:rsid w:val="00DB1DE3"/>
    <w:rsid w:val="00DD2FC2"/>
    <w:rsid w:val="00DD5D8F"/>
    <w:rsid w:val="00EE7BDF"/>
    <w:rsid w:val="00EF2127"/>
    <w:rsid w:val="00F05E52"/>
    <w:rsid w:val="00F130AE"/>
    <w:rsid w:val="00F4322A"/>
    <w:rsid w:val="00F43A4D"/>
    <w:rsid w:val="00F71361"/>
    <w:rsid w:val="00F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3B54D"/>
  <w15:docId w15:val="{5CE7906B-1A38-4FCA-8496-308D2221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34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3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F2127"/>
    <w:pPr>
      <w:ind w:left="720"/>
      <w:contextualSpacing/>
    </w:pPr>
  </w:style>
  <w:style w:type="character" w:customStyle="1" w:styleId="st">
    <w:name w:val="st"/>
    <w:basedOn w:val="Domylnaczcionkaakapitu"/>
    <w:rsid w:val="006B6D2B"/>
  </w:style>
  <w:style w:type="paragraph" w:styleId="Nagwek">
    <w:name w:val="header"/>
    <w:basedOn w:val="Normalny"/>
    <w:link w:val="NagwekZnak"/>
    <w:uiPriority w:val="99"/>
    <w:unhideWhenUsed/>
    <w:rsid w:val="0091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B90"/>
  </w:style>
  <w:style w:type="paragraph" w:styleId="Stopka">
    <w:name w:val="footer"/>
    <w:basedOn w:val="Normalny"/>
    <w:link w:val="StopkaZnak"/>
    <w:uiPriority w:val="99"/>
    <w:unhideWhenUsed/>
    <w:rsid w:val="0091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B90"/>
  </w:style>
  <w:style w:type="table" w:styleId="Tabela-Siatka">
    <w:name w:val="Table Grid"/>
    <w:basedOn w:val="Standardowy"/>
    <w:uiPriority w:val="39"/>
    <w:rsid w:val="00F4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4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4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semiHidden/>
    <w:unhideWhenUsed/>
    <w:rsid w:val="000534F1"/>
    <w:rPr>
      <w:color w:val="0000FF"/>
      <w:u w:val="single"/>
    </w:rPr>
  </w:style>
  <w:style w:type="character" w:customStyle="1" w:styleId="s3">
    <w:name w:val="s3"/>
    <w:basedOn w:val="Domylnaczcionkaakapitu"/>
    <w:rsid w:val="000534F1"/>
  </w:style>
  <w:style w:type="character" w:customStyle="1" w:styleId="Nagwek3Znak">
    <w:name w:val="Nagłówek 3 Znak"/>
    <w:basedOn w:val="Domylnaczcionkaakapitu"/>
    <w:link w:val="Nagwek3"/>
    <w:uiPriority w:val="9"/>
    <w:rsid w:val="000534F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0E3A-1925-479C-990A-4953B398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Pietruszewska</dc:creator>
  <cp:lastModifiedBy>Monika Szwugier</cp:lastModifiedBy>
  <cp:revision>6</cp:revision>
  <dcterms:created xsi:type="dcterms:W3CDTF">2020-04-06T11:26:00Z</dcterms:created>
  <dcterms:modified xsi:type="dcterms:W3CDTF">2020-04-06T14:38:00Z</dcterms:modified>
</cp:coreProperties>
</file>